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4.399999999999999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0063"/>
        <w:tblGridChange w:id="0">
          <w:tblGrid>
            <w:gridCol w:w="10063"/>
          </w:tblGrid>
        </w:tblGridChange>
      </w:tblGrid>
      <w:tr>
        <w:trPr>
          <w:cantSplit w:val="0"/>
          <w:trHeight w:val="6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  <w:rtl w:val="0"/>
              </w:rPr>
              <w:t xml:space="preserve">부동산 매매계약서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a0a0a0" w:space="0" w:sz="4" w:val="single"/>
          <w:insideV w:color="a0a0a0" w:space="0" w:sz="4" w:val="single"/>
        </w:tblBorders>
        <w:tblLayout w:type="fixed"/>
        <w:tblLook w:val="0000"/>
      </w:tblPr>
      <w:tblGrid>
        <w:gridCol w:w="990"/>
        <w:gridCol w:w="930"/>
        <w:gridCol w:w="2385"/>
        <w:gridCol w:w="945"/>
        <w:gridCol w:w="375"/>
        <w:gridCol w:w="1005"/>
        <w:gridCol w:w="915"/>
        <w:gridCol w:w="660"/>
        <w:gridCol w:w="1965"/>
        <w:tblGridChange w:id="0">
          <w:tblGrid>
            <w:gridCol w:w="990"/>
            <w:gridCol w:w="930"/>
            <w:gridCol w:w="2385"/>
            <w:gridCol w:w="945"/>
            <w:gridCol w:w="375"/>
            <w:gridCol w:w="1005"/>
            <w:gridCol w:w="915"/>
            <w:gridCol w:w="660"/>
            <w:gridCol w:w="1965"/>
          </w:tblGrid>
        </w:tblGridChange>
      </w:tblGrid>
      <w:tr>
        <w:trPr>
          <w:cantSplit w:val="0"/>
          <w:trHeight w:val="670" w:hRule="atLeast"/>
          <w:tblHeader w:val="0"/>
        </w:trPr>
        <w:tc>
          <w:tcPr>
            <w:gridSpan w:val="9"/>
            <w:shd w:fill="f4f4f4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매도인과 매수인 쌍방은 아래 표시 부동산에 관하여 다음 계약 내용과 같이 매매계약을 체결한다.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1.부동산의 표시</w:t>
            </w:r>
          </w:p>
        </w:tc>
      </w:tr>
      <w:tr>
        <w:trPr>
          <w:cantSplit w:val="0"/>
          <w:trHeight w:val="405.00000000000006" w:hRule="atLeast"/>
          <w:tblHeader w:val="0"/>
        </w:trPr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소 재 지</w:t>
            </w:r>
          </w:p>
        </w:tc>
        <w:tc>
          <w:tcPr>
            <w:gridSpan w:val="8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.42857142857144" w:hRule="atLeast"/>
          <w:tblHeader w:val="0"/>
        </w:trPr>
        <w:tc>
          <w:tcPr>
            <w:vMerge w:val="restart"/>
            <w:shd w:fill="f4f4f4" w:val="clear"/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건    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유 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유닛번호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개발사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7857142857143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주차공간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  / 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면  적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㎡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9"/>
            <w:shd w:fill="f4f4f4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 계약내용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제 1 조 (목적) 위 부동산의 매매에 대하여 매도인과 매수인은 합의에 의하여 매매대금을 아래와 같이 지불하기로 한다.(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결제방식 : 은행송금 / 수표 / 암호화폐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매매대금</w:t>
            </w:r>
          </w:p>
        </w:tc>
        <w:tc>
          <w:tcPr>
            <w:gridSpan w:val="8"/>
            <w:shd w:fill="f4f4f4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                                               원정(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￦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          )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계 약 금</w:t>
            </w:r>
          </w:p>
        </w:tc>
        <w:tc>
          <w:tcPr>
            <w:gridSpan w:val="8"/>
            <w:shd w:fill="f4f4f4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                  원정은 계약시에 지불하고 영수함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영수자(                   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인</w:t>
            </w: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)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융 자 금</w:t>
            </w:r>
          </w:p>
        </w:tc>
        <w:tc>
          <w:tcPr>
            <w:gridSpan w:val="4"/>
            <w:shd w:fill="f4f4f4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원정(        은행)을 승계키로 한다.</w:t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임대보증금</w:t>
            </w:r>
          </w:p>
        </w:tc>
        <w:tc>
          <w:tcPr>
            <w:gridSpan w:val="3"/>
            <w:shd w:fill="f4f4f4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총             원정 을 승계키로 한다.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restart"/>
            <w:shd w:fill="f4f4f4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중 도 금</w:t>
            </w:r>
          </w:p>
        </w:tc>
        <w:tc>
          <w:tcPr>
            <w:gridSpan w:val="8"/>
            <w:shd w:fill="f4f4f4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                                    원정은         년       월      일에 지불하며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4f4f4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                                    원정은         년       월      일에 지불한다.</w:t>
            </w:r>
          </w:p>
        </w:tc>
      </w:tr>
      <w:tr>
        <w:trPr>
          <w:cantSplit w:val="0"/>
          <w:trHeight w:val="292" w:hRule="atLeast"/>
          <w:tblHeader w:val="0"/>
        </w:trPr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잔    금</w:t>
            </w:r>
          </w:p>
        </w:tc>
        <w:tc>
          <w:tcPr>
            <w:gridSpan w:val="8"/>
            <w:shd w:fill="f4f4f4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금                                                 원정은         년       월      일에 지불한다.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20" w:lineRule="auto"/>
        <w:ind w:left="0" w:right="0" w:firstLine="0"/>
        <w:jc w:val="both"/>
        <w:rPr>
          <w:i w:val="0"/>
          <w:smallCaps w:val="0"/>
          <w:strike w:val="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17"/>
          <w:szCs w:val="17"/>
          <w:u w:val="none"/>
          <w:shd w:fill="auto" w:val="clear"/>
          <w:vertAlign w:val="baseline"/>
          <w:rtl w:val="0"/>
        </w:rPr>
        <w:t xml:space="preserve">제 2 조 (</w:t>
      </w:r>
      <w:r w:rsidDel="00000000" w:rsidR="00000000" w:rsidRPr="00000000">
        <w:rPr>
          <w:b w:val="1"/>
          <w:i w:val="0"/>
          <w:smallCaps w:val="0"/>
          <w:strike w:val="0"/>
          <w:sz w:val="17"/>
          <w:szCs w:val="17"/>
          <w:u w:val="none"/>
          <w:shd w:fill="auto" w:val="clear"/>
          <w:vertAlign w:val="baseline"/>
          <w:rtl w:val="0"/>
        </w:rPr>
        <w:t xml:space="preserve">소유권 이전 등</w:t>
      </w:r>
      <w:r w:rsidDel="00000000" w:rsidR="00000000" w:rsidRPr="00000000">
        <w:rPr>
          <w:i w:val="0"/>
          <w:smallCaps w:val="0"/>
          <w:strike w:val="0"/>
          <w:sz w:val="17"/>
          <w:szCs w:val="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sz w:val="17"/>
          <w:szCs w:val="17"/>
          <w:rtl w:val="0"/>
        </w:rPr>
        <w:t xml:space="preserve">매매 대금 전액 납부 후 Dubai Land Department (DLD)를 통해 소유권 이전 진행모든 정부 수수료 및 이전 비용은 매수인이 부담하며, </w:t>
      </w: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위 부동산의 인도일은           년       월       일로 한다.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left"/>
        <w:rPr>
          <w:rFonts w:ascii="Calibri" w:cs="Calibri" w:eastAsia="Calibri" w:hAnsi="Calibri"/>
          <w:sz w:val="17"/>
          <w:szCs w:val="17"/>
          <w:u w:val="none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두바이 토지부(DLD) 등록 여부 (DLD Registration): [예/아니오]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1"/>
        </w:numPr>
        <w:spacing w:after="0" w:before="0" w:line="276" w:lineRule="auto"/>
        <w:ind w:left="720" w:hanging="360"/>
        <w:jc w:val="left"/>
        <w:rPr>
          <w:rFonts w:ascii="Calibri" w:cs="Calibri" w:eastAsia="Calibri" w:hAnsi="Calibri"/>
          <w:sz w:val="17"/>
          <w:szCs w:val="17"/>
          <w:u w:val="none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등록 비용 및 세금 부담 (Registration Fees &amp; Taxes): [매도인/매수인/공동 부담]</w:t>
      </w:r>
    </w:p>
    <w:p w:rsidR="00000000" w:rsidDel="00000000" w:rsidP="00000000" w:rsidRDefault="00000000" w:rsidRPr="00000000" w14:paraId="0000006D">
      <w:pPr>
        <w:widowControl w:val="1"/>
        <w:spacing w:after="0" w:before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제 3 조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제한물권 등의 소멸</w:t>
      </w:r>
      <w:r w:rsidDel="00000000" w:rsidR="00000000" w:rsidRPr="00000000"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매도인은 위의 부동산에 설정된 저당권, 지상권, 임차권 등 소유권의 행사를 제한하는 사유가 있거나, 제세공과 기타 부담금의 미납금 등이 있을 때에는 잔금 수수일까지 그 권리의 하자 및 부담 등을 제거하여 완전한 소유권을 매수인에게 이전한다. 다만, 승계하기로 합의하는 권리 및 금액은 그러하지 아니하다.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제 4 조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지방세 등</w:t>
      </w:r>
      <w:r w:rsidDel="00000000" w:rsidR="00000000" w:rsidRPr="00000000">
        <w:rPr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 위 부동산에 관하여 발생한 수익의 귀속과 제세공과금 등의 부담은 위 부동산의 인도일을 기준으로 하되, 지방세의 납부의무 및 납부책임은 지방세법의 규정에 의한다.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sz w:val="17"/>
          <w:szCs w:val="17"/>
        </w:rPr>
      </w:pP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제 5 조 (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계약의 해제</w:t>
      </w:r>
      <w:r w:rsidDel="00000000" w:rsidR="00000000" w:rsidRPr="00000000">
        <w:rPr>
          <w:b w:val="1"/>
          <w:sz w:val="17"/>
          <w:szCs w:val="17"/>
          <w:rtl w:val="0"/>
        </w:rPr>
        <w:t xml:space="preserve"> 및 위약금</w:t>
      </w: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sz w:val="17"/>
          <w:szCs w:val="17"/>
          <w:rtl w:val="0"/>
        </w:rPr>
        <w:t xml:space="preserve">매수인이 계약을 임의로 해지할 경우, 계약금은 환불되지 않는다.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   매도인이 계약을 임의로 해지할 경우, 계약금의 100%를 매수인에게 환불해야 한다.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             계약 당사자가 계약을 위반할 경우, 상대방에게 지급해야 할 위약금은 계약금 범위 내에서만 한정되며 추가적 손해배상 청구는 불가하다.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sz w:val="17"/>
          <w:szCs w:val="17"/>
        </w:rPr>
      </w:pP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제 6 조 </w:t>
      </w:r>
      <w:r w:rsidDel="00000000" w:rsidR="00000000" w:rsidRPr="00000000">
        <w:rPr>
          <w:rFonts w:ascii="Calibri" w:cs="Calibri" w:eastAsia="Calibri" w:hAnsi="Calibri"/>
          <w:b w:val="1"/>
          <w:sz w:val="17"/>
          <w:szCs w:val="17"/>
          <w:rtl w:val="0"/>
        </w:rPr>
        <w:t xml:space="preserve">(면책 및 책임 제한)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6aqhclh23wmc" w:id="0"/>
      <w:bookmarkEnd w:id="0"/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6.1. 계약 당사자의 진술 및 보증 </w:t>
      </w:r>
    </w:p>
    <w:p w:rsidR="00000000" w:rsidDel="00000000" w:rsidP="00000000" w:rsidRDefault="00000000" w:rsidRPr="00000000" w14:paraId="00000075">
      <w:pPr>
        <w:spacing w:after="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  매도인의 보증</w:t>
      </w:r>
    </w:p>
    <w:p w:rsidR="00000000" w:rsidDel="00000000" w:rsidP="00000000" w:rsidRDefault="00000000" w:rsidRPr="00000000" w14:paraId="00000077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매도인은 해당 부동산의 법적 소유자이며, 법적 권리를 가지고 있다.</w:t>
      </w:r>
    </w:p>
    <w:p w:rsidR="00000000" w:rsidDel="00000000" w:rsidP="00000000" w:rsidRDefault="00000000" w:rsidRPr="00000000" w14:paraId="00000078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부동산에 미납된 세금, 담보, 저당권(lien) 또는 기타 법적 제한이 존재하지 않는다.</w:t>
      </w:r>
    </w:p>
    <w:p w:rsidR="00000000" w:rsidDel="00000000" w:rsidP="00000000" w:rsidRDefault="00000000" w:rsidRPr="00000000" w14:paraId="00000079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매도인은 매수인에게 정확한 정보를 제공하며, 향후 제3자가 소유권을 주장할 경우 모든 법적 책임을 부담한다.</w:t>
      </w:r>
    </w:p>
    <w:p w:rsidR="00000000" w:rsidDel="00000000" w:rsidP="00000000" w:rsidRDefault="00000000" w:rsidRPr="00000000" w14:paraId="0000007A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 매수인의 보증</w:t>
      </w:r>
    </w:p>
    <w:p w:rsidR="00000000" w:rsidDel="00000000" w:rsidP="00000000" w:rsidRDefault="00000000" w:rsidRPr="00000000" w14:paraId="0000007B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매수인은 본 계약의 모든 조건을 충분히 이해하고 있으며, 계약 이행을 위한 재정적 능력을 갖추고 UAE 및 두바이 부동산법을 준수하며, 적법한 절차를 통해 대금을 지급할 것이다.</w:t>
      </w:r>
    </w:p>
    <w:p w:rsidR="00000000" w:rsidDel="00000000" w:rsidP="00000000" w:rsidRDefault="00000000" w:rsidRPr="00000000" w14:paraId="0000007C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q1lxoje5ye7w" w:id="1"/>
      <w:bookmarkEnd w:id="1"/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  6.2. 법적 책임의 제한</w:t>
      </w:r>
    </w:p>
    <w:p w:rsidR="00000000" w:rsidDel="00000000" w:rsidP="00000000" w:rsidRDefault="00000000" w:rsidRPr="00000000" w14:paraId="0000007D">
      <w:pPr>
        <w:spacing w:after="0" w:line="276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부동산 상태 관련 면책 (As-Is Condition &amp; No Future Claims)</w:t>
      </w:r>
    </w:p>
    <w:p w:rsidR="00000000" w:rsidDel="00000000" w:rsidP="00000000" w:rsidRDefault="00000000" w:rsidRPr="00000000" w14:paraId="0000007F">
      <w:pPr>
        <w:widowControl w:val="1"/>
        <w:spacing w:after="0" w:line="276" w:lineRule="auto"/>
        <w:ind w:left="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           매수인은 해당 부동산을 **현 상태(as-is)**로 인수하는 데 동의하며, 매도인은 부동산의 구조적 결함, 유지보수 비용, 또는 </w:t>
      </w:r>
    </w:p>
    <w:p w:rsidR="00000000" w:rsidDel="00000000" w:rsidP="00000000" w:rsidRDefault="00000000" w:rsidRPr="00000000" w14:paraId="00000080">
      <w:pPr>
        <w:widowControl w:val="1"/>
        <w:spacing w:after="0" w:line="276" w:lineRule="auto"/>
        <w:ind w:left="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           기타 예상치 못한 문제에 대한 책임을 지지 않는다.</w:t>
      </w:r>
    </w:p>
    <w:p w:rsidR="00000000" w:rsidDel="00000000" w:rsidP="00000000" w:rsidRDefault="00000000" w:rsidRPr="00000000" w14:paraId="00000081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법률 변경에 대한 책임 없음 (No Liability for Legal or Regulatory Changes)</w:t>
      </w:r>
    </w:p>
    <w:p w:rsidR="00000000" w:rsidDel="00000000" w:rsidP="00000000" w:rsidRDefault="00000000" w:rsidRPr="00000000" w14:paraId="00000082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계약 체결 후 UAE 정부 또는 두바이 토지부(DLD), 두바이 부동산 규제청(RERA)의 법률 변경으로 인해 발생하는 불이익에 대해 매도인은 책임을 지지 않는다.</w:t>
      </w:r>
    </w:p>
    <w:p w:rsidR="00000000" w:rsidDel="00000000" w:rsidP="00000000" w:rsidRDefault="00000000" w:rsidRPr="00000000" w14:paraId="00000083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부당한 법적 청구 방지 (Prevention of Unjustified Claims)</w:t>
      </w:r>
    </w:p>
    <w:p w:rsidR="00000000" w:rsidDel="00000000" w:rsidP="00000000" w:rsidRDefault="00000000" w:rsidRPr="00000000" w14:paraId="00000084">
      <w:pPr>
        <w:widowControl w:val="1"/>
        <w:spacing w:after="0" w:line="276" w:lineRule="auto"/>
        <w:ind w:left="720" w:firstLine="0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매도인은 본 계약 체결 이후 발생하는 법적 분쟁에서, 계약 내용에 따른 책임 이상을 지지 않는다</w:t>
      </w:r>
    </w:p>
    <w:p w:rsidR="00000000" w:rsidDel="00000000" w:rsidP="00000000" w:rsidRDefault="00000000" w:rsidRPr="00000000" w14:paraId="00000085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0" w:line="276" w:lineRule="auto"/>
        <w:jc w:val="left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276" w:lineRule="auto"/>
        <w:ind w:right="0"/>
        <w:jc w:val="both"/>
        <w:rPr>
          <w:rFonts w:ascii="Calibri" w:cs="Calibri" w:eastAsia="Calibri" w:hAnsi="Calibri"/>
          <w:b w:val="1"/>
          <w:sz w:val="17"/>
          <w:szCs w:val="17"/>
        </w:rPr>
      </w:pP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제 7 조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17"/>
          <w:szCs w:val="17"/>
          <w:rtl w:val="0"/>
        </w:rPr>
        <w:t xml:space="preserve">법적 분쟁 해결)</w:t>
      </w:r>
    </w:p>
    <w:p w:rsidR="00000000" w:rsidDel="00000000" w:rsidP="00000000" w:rsidRDefault="00000000" w:rsidRPr="00000000" w14:paraId="00000091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hytzpc9kibon" w:id="2"/>
      <w:bookmarkEnd w:id="2"/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   7.1. 우선 협의 해결</w:t>
      </w:r>
    </w:p>
    <w:p w:rsidR="00000000" w:rsidDel="00000000" w:rsidP="00000000" w:rsidRDefault="00000000" w:rsidRPr="00000000" w14:paraId="00000092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계약 당사자는 분쟁 발생 시 우선적으로 상호 협의를 통해 해결해야 한다.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8yifhisnf1th" w:id="3"/>
      <w:bookmarkEnd w:id="3"/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   7.2. 강제 중재 조항</w:t>
      </w:r>
    </w:p>
    <w:p w:rsidR="00000000" w:rsidDel="00000000" w:rsidP="00000000" w:rsidRDefault="00000000" w:rsidRPr="00000000" w14:paraId="00000094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본 계약과 관련된 모든 분쟁은 **UAE 중재법(Federal Arbitration Law No. 6 of 2018)**에 따라 </w:t>
      </w:r>
    </w:p>
    <w:p w:rsidR="00000000" w:rsidDel="00000000" w:rsidP="00000000" w:rsidRDefault="00000000" w:rsidRPr="00000000" w14:paraId="00000095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두바이 국제중재센터(DIAC)에서 강제 중재를 통해 해결해야 한다.</w:t>
      </w:r>
    </w:p>
    <w:p w:rsidR="00000000" w:rsidDel="00000000" w:rsidP="00000000" w:rsidRDefault="00000000" w:rsidRPr="00000000" w14:paraId="00000096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중재 판정은 최종적이며, 이에 대해 당사자는 이의를 제기할 수 없다.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j5bh3veylp0k" w:id="4"/>
      <w:bookmarkEnd w:id="4"/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   7.3. 관할 법원 및 준거법 </w:t>
      </w:r>
    </w:p>
    <w:p w:rsidR="00000000" w:rsidDel="00000000" w:rsidP="00000000" w:rsidRDefault="00000000" w:rsidRPr="00000000" w14:paraId="00000098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본 계약은 아랍에미리트(UAE) 및 두바이 법률에 따라 해석 및 집행된다.</w:t>
      </w:r>
    </w:p>
    <w:p w:rsidR="00000000" w:rsidDel="00000000" w:rsidP="00000000" w:rsidRDefault="00000000" w:rsidRPr="00000000" w14:paraId="00000099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중재로 해결되지 않은 분쟁은 두바이 국제금융센터 법원(DIFC Courts)에서 최종적으로 해결된다.</w:t>
      </w:r>
    </w:p>
    <w:p w:rsidR="00000000" w:rsidDel="00000000" w:rsidP="00000000" w:rsidRDefault="00000000" w:rsidRPr="00000000" w14:paraId="0000009A">
      <w:pPr>
        <w:widowControl w:val="1"/>
        <w:spacing w:after="0" w:line="276" w:lineRule="auto"/>
        <w:jc w:val="left"/>
        <w:rPr>
          <w:rFonts w:ascii="Calibri" w:cs="Calibri" w:eastAsia="Calibri" w:hAnsi="Calibri"/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 DIFC 법원의 판결은 최종적이며, 이에 대한 추가 항소 또는 소송을 제기할 수 없다.</w:t>
      </w:r>
    </w:p>
    <w:p w:rsidR="00000000" w:rsidDel="00000000" w:rsidP="00000000" w:rsidRDefault="00000000" w:rsidRPr="00000000" w14:paraId="0000009B">
      <w:pPr>
        <w:pStyle w:val="Heading3"/>
        <w:keepNext w:val="0"/>
        <w:keepLines w:val="0"/>
        <w:widowControl w:val="1"/>
        <w:spacing w:after="0" w:before="0" w:line="276" w:lineRule="auto"/>
        <w:jc w:val="left"/>
        <w:rPr>
          <w:rFonts w:ascii="Calibri" w:cs="Calibri" w:eastAsia="Calibri" w:hAnsi="Calibri"/>
          <w:b w:val="0"/>
          <w:sz w:val="17"/>
          <w:szCs w:val="17"/>
        </w:rPr>
      </w:pPr>
      <w:bookmarkStart w:colFirst="0" w:colLast="0" w:name="_cjx6pnqbd6r0" w:id="5"/>
      <w:bookmarkEnd w:id="5"/>
      <w:r w:rsidDel="00000000" w:rsidR="00000000" w:rsidRPr="00000000">
        <w:rPr>
          <w:rFonts w:ascii="Calibri" w:cs="Calibri" w:eastAsia="Calibri" w:hAnsi="Calibri"/>
          <w:b w:val="0"/>
          <w:sz w:val="17"/>
          <w:szCs w:val="17"/>
          <w:rtl w:val="0"/>
        </w:rPr>
        <w:t xml:space="preserve">     7.4. 소송 비용 부담)</w:t>
      </w:r>
    </w:p>
    <w:p w:rsidR="00000000" w:rsidDel="00000000" w:rsidP="00000000" w:rsidRDefault="00000000" w:rsidRPr="00000000" w14:paraId="0000009C">
      <w:pPr>
        <w:widowControl w:val="1"/>
        <w:spacing w:after="0" w:line="276" w:lineRule="auto"/>
        <w:jc w:val="left"/>
        <w:rPr>
          <w:sz w:val="17"/>
          <w:szCs w:val="17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  <w:rtl w:val="0"/>
        </w:rPr>
        <w:t xml:space="preserve">       법적 분쟁 발생 시, 패소한 당사자가 모든 소송 비용(변호사 비용, 법원 수수료 등)을 부담해야 한다.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20" w:lineRule="auto"/>
        <w:ind w:left="49" w:right="0" w:firstLine="0"/>
        <w:jc w:val="both"/>
        <w:rPr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93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04"/>
        <w:gridCol w:w="9289"/>
        <w:tblGridChange w:id="0">
          <w:tblGrid>
            <w:gridCol w:w="804"/>
            <w:gridCol w:w="9289"/>
          </w:tblGrid>
        </w:tblGridChange>
      </w:tblGrid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특약사항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0" w:val="nil"/>
              <w:bottom w:color="000000" w:space="0" w:sz="6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dotted"/>
              <w:left w:color="000000" w:space="0" w:sz="0" w:val="nil"/>
              <w:bottom w:color="000000" w:space="0" w:sz="6" w:val="dotted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both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80" w:lineRule="auto"/>
        <w:ind w:left="49" w:right="0" w:firstLine="0"/>
        <w:jc w:val="both"/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본 계약을 증명하기 위하여 계약 당사자가 이의 없음을 확인하고 각각 서명</w:t>
      </w: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날인 후 매도인, 매수인 및 개업공인중개사는 매장마다 간인하여야 하며,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80" w:lineRule="auto"/>
        <w:ind w:left="49" w:right="0" w:firstLine="0"/>
        <w:jc w:val="both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  <w:rtl w:val="0"/>
        </w:rPr>
        <w:t xml:space="preserve"> 각각 1통씩 보관한다.</w:t>
      </w:r>
      <w:r w:rsidDel="00000000" w:rsidR="00000000" w:rsidRPr="00000000">
        <w:rPr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80" w:lineRule="auto"/>
        <w:ind w:left="49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년     월     일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80" w:lineRule="auto"/>
        <w:ind w:left="49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80" w:lineRule="auto"/>
        <w:ind w:left="49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70.0" w:type="dxa"/>
        <w:jc w:val="center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a0a0a0" w:space="0" w:sz="4" w:val="single"/>
          <w:insideV w:color="a0a0a0" w:space="0" w:sz="4" w:val="single"/>
        </w:tblBorders>
        <w:tblLayout w:type="fixed"/>
        <w:tblLook w:val="0000"/>
      </w:tblPr>
      <w:tblGrid>
        <w:gridCol w:w="330"/>
        <w:gridCol w:w="1575"/>
        <w:gridCol w:w="375"/>
        <w:gridCol w:w="435"/>
        <w:gridCol w:w="645"/>
        <w:gridCol w:w="465"/>
        <w:gridCol w:w="1035"/>
        <w:gridCol w:w="1020"/>
        <w:gridCol w:w="525"/>
        <w:gridCol w:w="945"/>
        <w:gridCol w:w="105"/>
        <w:gridCol w:w="630"/>
        <w:gridCol w:w="525"/>
        <w:gridCol w:w="690"/>
        <w:gridCol w:w="870"/>
        <w:tblGridChange w:id="0">
          <w:tblGrid>
            <w:gridCol w:w="330"/>
            <w:gridCol w:w="1575"/>
            <w:gridCol w:w="375"/>
            <w:gridCol w:w="435"/>
            <w:gridCol w:w="645"/>
            <w:gridCol w:w="465"/>
            <w:gridCol w:w="1035"/>
            <w:gridCol w:w="1020"/>
            <w:gridCol w:w="525"/>
            <w:gridCol w:w="945"/>
            <w:gridCol w:w="105"/>
            <w:gridCol w:w="630"/>
            <w:gridCol w:w="525"/>
            <w:gridCol w:w="690"/>
            <w:gridCol w:w="8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vMerge w:val="restart"/>
            <w:shd w:fill="f4f4f4" w:val="clear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도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인</w:t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        소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(인/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날짜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여 권 번 호/국 적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에미레이트 ID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연 락 처 </w:t>
            </w: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</w:t>
              <w:br w:type="textWrapping"/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이 메 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대   리   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주소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여 권 번 호/국 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restart"/>
            <w:shd w:fill="f4f4f4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매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수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인</w:t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        소</w:t>
            </w:r>
          </w:p>
        </w:tc>
        <w:tc>
          <w:tcPr>
            <w:gridSpan w:val="12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B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(인/날짜)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ED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여 권 번 호/국 적</w:t>
              <w:br w:type="textWrapping"/>
              <w:t xml:space="preserve">에미레이트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연 락 처 /</w:t>
              <w:br w:type="textWrapping"/>
              <w:t xml:space="preserve">이 메 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대   리   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주소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02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여 권 번 호/국 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성 명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restart"/>
            <w:shd w:fill="f4f4f4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공인중개사</w:t>
            </w:r>
          </w:p>
        </w:tc>
        <w:tc>
          <w:tcPr>
            <w:gridSpan w:val="14"/>
            <w:shd w:fill="f4f4f4" w:val="clear"/>
            <w:vAlign w:val="center"/>
          </w:tcPr>
          <w:p w:rsidR="00000000" w:rsidDel="00000000" w:rsidP="00000000" w:rsidRDefault="00000000" w:rsidRPr="00000000" w14:paraId="0000010B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중개 수수료(Brokerage Fee): 총 매매가의 2% (AED [금액])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18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shd w:fill="f4f4f4" w:val="clear"/>
            <w:vAlign w:val="center"/>
          </w:tcPr>
          <w:p w:rsidR="00000000" w:rsidDel="00000000" w:rsidP="00000000" w:rsidRDefault="00000000" w:rsidRPr="00000000" w14:paraId="0000011A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76" w:lineRule="auto"/>
              <w:jc w:val="left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사무소명칭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4f4f4" w:val="clear"/>
            <w:vAlign w:val="center"/>
          </w:tcPr>
          <w:p w:rsidR="00000000" w:rsidDel="00000000" w:rsidP="00000000" w:rsidRDefault="00000000" w:rsidRPr="00000000" w14:paraId="0000012F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76" w:lineRule="auto"/>
              <w:jc w:val="center"/>
              <w:rPr>
                <w:sz w:val="17"/>
                <w:szCs w:val="17"/>
              </w:rPr>
            </w:pPr>
            <w:r w:rsidDel="00000000" w:rsidR="00000000" w:rsidRPr="00000000">
              <w:rPr>
                <w:sz w:val="17"/>
                <w:szCs w:val="17"/>
                <w:rtl w:val="0"/>
              </w:rPr>
              <w:t xml:space="preserve">연 락 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대        표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서명및날인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(인)</w:t>
            </w:r>
          </w:p>
        </w:tc>
        <w:tc>
          <w:tcPr>
            <w:gridSpan w:val="2"/>
            <w:shd w:fill="f4f4f4" w:val="clear"/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이메일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40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공인중개사 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8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4f4f4" w:val="clear"/>
            <w:vAlign w:val="center"/>
          </w:tcPr>
          <w:p w:rsidR="00000000" w:rsidDel="00000000" w:rsidP="00000000" w:rsidRDefault="00000000" w:rsidRPr="00000000" w14:paraId="0000014D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RERA 등록번호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vMerge w:val="continue"/>
            <w:shd w:fill="f4f4f4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f4f4" w:val="clear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소속공인중개사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서명및날인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both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                 (인)</w:t>
            </w:r>
          </w:p>
        </w:tc>
        <w:tc>
          <w:tcPr>
            <w:gridSpan w:val="2"/>
            <w:shd w:fill="f4f4f4" w:val="clear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before="0" w:line="240" w:lineRule="auto"/>
              <w:ind w:left="0" w:right="0" w:firstLine="0"/>
              <w:jc w:val="center"/>
              <w:rPr>
                <w:i w:val="0"/>
                <w:smallCaps w:val="0"/>
                <w:strike w:val="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부동산 중개사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5E">
            <w:pPr>
              <w:tabs>
                <w:tab w:val="left" w:leader="none" w:pos="800"/>
                <w:tab w:val="left" w:leader="none" w:pos="1600"/>
                <w:tab w:val="left" w:leader="none" w:pos="2400"/>
                <w:tab w:val="left" w:leader="none" w:pos="3200"/>
                <w:tab w:val="left" w:leader="none" w:pos="4000"/>
                <w:tab w:val="left" w:leader="none" w:pos="4800"/>
                <w:tab w:val="left" w:leader="none" w:pos="5600"/>
                <w:tab w:val="left" w:leader="none" w:pos="6400"/>
                <w:tab w:val="left" w:leader="none" w:pos="7200"/>
                <w:tab w:val="left" w:leader="none" w:pos="8000"/>
                <w:tab w:val="left" w:leader="none" w:pos="8800"/>
                <w:tab w:val="left" w:leader="none" w:pos="9600"/>
                <w:tab w:val="left" w:leader="none" w:pos="10400"/>
                <w:tab w:val="left" w:leader="none" w:pos="11200"/>
                <w:tab w:val="left" w:leader="none" w:pos="12000"/>
                <w:tab w:val="left" w:leader="none" w:pos="12800"/>
                <w:tab w:val="left" w:leader="none" w:pos="13600"/>
                <w:tab w:val="left" w:leader="none" w:pos="14400"/>
                <w:tab w:val="left" w:leader="none" w:pos="15200"/>
                <w:tab w:val="left" w:leader="none" w:pos="16000"/>
                <w:tab w:val="left" w:leader="none" w:pos="16800"/>
                <w:tab w:val="left" w:leader="none" w:pos="17600"/>
                <w:tab w:val="left" w:leader="none" w:pos="18400"/>
                <w:tab w:val="left" w:leader="none" w:pos="19200"/>
                <w:tab w:val="left" w:leader="none" w:pos="20000"/>
                <w:tab w:val="left" w:leader="none" w:pos="20800"/>
                <w:tab w:val="left" w:leader="none" w:pos="21600"/>
                <w:tab w:val="left" w:leader="none" w:pos="22400"/>
                <w:tab w:val="left" w:leader="none" w:pos="23200"/>
                <w:tab w:val="left" w:leader="none" w:pos="24000"/>
                <w:tab w:val="left" w:leader="none" w:pos="24800"/>
                <w:tab w:val="left" w:leader="none" w:pos="25600"/>
              </w:tabs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  <w:tab w:val="left" w:leader="none" w:pos="1600"/>
          <w:tab w:val="left" w:leader="none" w:pos="2400"/>
          <w:tab w:val="left" w:leader="none" w:pos="3200"/>
          <w:tab w:val="left" w:leader="none" w:pos="4000"/>
          <w:tab w:val="left" w:leader="none" w:pos="4800"/>
          <w:tab w:val="left" w:leader="none" w:pos="5600"/>
          <w:tab w:val="left" w:leader="none" w:pos="6400"/>
          <w:tab w:val="left" w:leader="none" w:pos="7200"/>
          <w:tab w:val="left" w:leader="none" w:pos="8000"/>
          <w:tab w:val="left" w:leader="none" w:pos="8800"/>
          <w:tab w:val="left" w:leader="none" w:pos="9600"/>
          <w:tab w:val="left" w:leader="none" w:pos="10400"/>
          <w:tab w:val="left" w:leader="none" w:pos="11200"/>
          <w:tab w:val="left" w:leader="none" w:pos="12000"/>
          <w:tab w:val="left" w:leader="none" w:pos="12800"/>
          <w:tab w:val="left" w:leader="none" w:pos="13600"/>
          <w:tab w:val="left" w:leader="none" w:pos="14400"/>
          <w:tab w:val="left" w:leader="none" w:pos="15200"/>
          <w:tab w:val="left" w:leader="none" w:pos="16000"/>
          <w:tab w:val="left" w:leader="none" w:pos="16800"/>
          <w:tab w:val="left" w:leader="none" w:pos="17600"/>
          <w:tab w:val="left" w:leader="none" w:pos="18400"/>
          <w:tab w:val="left" w:leader="none" w:pos="19200"/>
          <w:tab w:val="left" w:leader="none" w:pos="20000"/>
          <w:tab w:val="left" w:leader="none" w:pos="20800"/>
          <w:tab w:val="left" w:leader="none" w:pos="21600"/>
          <w:tab w:val="left" w:leader="none" w:pos="22400"/>
          <w:tab w:val="left" w:leader="none" w:pos="23200"/>
          <w:tab w:val="left" w:leader="none" w:pos="24000"/>
          <w:tab w:val="left" w:leader="none" w:pos="24800"/>
          <w:tab w:val="left" w:leader="none" w:pos="25600"/>
        </w:tabs>
        <w:spacing w:after="0" w:before="0" w:line="14.399999999999999" w:lineRule="auto"/>
        <w:ind w:left="0" w:right="0" w:firstLine="0"/>
        <w:jc w:val="left"/>
        <w:rPr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396.85039370078744" w:top="396.85039370078744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algun Gothic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2468475</wp:posOffset>
          </wp:positionH>
          <wp:positionV relativeFrom="paragraph">
            <wp:posOffset>-318643</wp:posOffset>
          </wp:positionV>
          <wp:extent cx="1539812" cy="65246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9812" cy="6524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algun Gothic" w:cs="Malgun Gothic" w:eastAsia="Malgun Gothic" w:hAnsi="Malgun Gothic"/>
        <w:lang w:val="en-US"/>
      </w:rPr>
    </w:rPrDefault>
    <w:pPrDefault>
      <w:pPr>
        <w:widowControl w:val="0"/>
        <w:spacing w:after="160" w:line="259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2.0" w:type="dxa"/>
        <w:bottom w:w="0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