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0" w:line="384.00000000000006" w:lineRule="auto"/>
        <w:rPr>
          <w:rFonts w:ascii="Roboto" w:cs="Roboto" w:eastAsia="Roboto" w:hAnsi="Roboto"/>
          <w:b w:val="1"/>
          <w:color w:val="000000"/>
          <w:sz w:val="33"/>
          <w:szCs w:val="33"/>
        </w:rPr>
      </w:pPr>
      <w:bookmarkStart w:colFirst="0" w:colLast="0" w:name="_2qhzyouqihda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33"/>
          <w:szCs w:val="33"/>
          <w:rtl w:val="0"/>
        </w:rPr>
        <w:t xml:space="preserve">Caution for Third-Party Maintenance Notification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42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Upon detecting third-party maintenance, promptly announce to the client's group chat to ensure timely and effective communication.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42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