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highlight w:val="yellow"/>
        </w:rPr>
      </w:pPr>
      <w:bookmarkStart w:colFirst="0" w:colLast="0" w:name="_xrxv7ggpmtsd" w:id="0"/>
      <w:bookmarkEnd w:id="0"/>
      <w:r w:rsidDel="00000000" w:rsidR="00000000" w:rsidRPr="00000000">
        <w:rPr>
          <w:b w:val="1"/>
          <w:sz w:val="34"/>
          <w:szCs w:val="34"/>
          <w:highlight w:val="yellow"/>
          <w:rtl w:val="0"/>
        </w:rPr>
        <w:t xml:space="preserve">Sales Tips for Business Development and Sales Team</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r4wucy69q9s7" w:id="1"/>
      <w:bookmarkEnd w:id="1"/>
      <w:r w:rsidDel="00000000" w:rsidR="00000000" w:rsidRPr="00000000">
        <w:rPr>
          <w:b w:val="1"/>
          <w:color w:val="000000"/>
          <w:sz w:val="26"/>
          <w:szCs w:val="26"/>
          <w:rtl w:val="0"/>
        </w:rPr>
        <w:t xml:space="preserve">Portfolio Highlights</w:t>
      </w:r>
    </w:p>
    <w:p w:rsidR="00000000" w:rsidDel="00000000" w:rsidP="00000000" w:rsidRDefault="00000000" w:rsidRPr="00000000" w14:paraId="00000003">
      <w:pPr>
        <w:numPr>
          <w:ilvl w:val="0"/>
          <w:numId w:val="2"/>
        </w:numPr>
        <w:spacing w:after="0" w:afterAutospacing="0" w:before="240" w:lineRule="auto"/>
        <w:ind w:left="720" w:hanging="360"/>
      </w:pPr>
      <w:r w:rsidDel="00000000" w:rsidR="00000000" w:rsidRPr="00000000">
        <w:rPr>
          <w:b w:val="1"/>
          <w:rtl w:val="0"/>
        </w:rPr>
        <w:t xml:space="preserve">Realty Platform Fundraising (Somifinance.com)</w:t>
      </w:r>
    </w:p>
    <w:p w:rsidR="00000000" w:rsidDel="00000000" w:rsidP="00000000" w:rsidRDefault="00000000" w:rsidRPr="00000000" w14:paraId="00000004">
      <w:pPr>
        <w:numPr>
          <w:ilvl w:val="1"/>
          <w:numId w:val="2"/>
        </w:numPr>
        <w:spacing w:after="0" w:afterAutospacing="0" w:before="0" w:beforeAutospacing="0" w:lineRule="auto"/>
        <w:ind w:left="1440" w:hanging="360"/>
      </w:pPr>
      <w:r w:rsidDel="00000000" w:rsidR="00000000" w:rsidRPr="00000000">
        <w:rPr>
          <w:b w:val="1"/>
          <w:rtl w:val="0"/>
        </w:rPr>
        <w:t xml:space="preserve">Fundraising Success:</w:t>
      </w:r>
      <w:r w:rsidDel="00000000" w:rsidR="00000000" w:rsidRPr="00000000">
        <w:rPr>
          <w:rtl w:val="0"/>
        </w:rPr>
        <w:t xml:space="preserve"> +$8 Million USD in 2024 Q2 for the Dubai and Asia Market.</w:t>
      </w:r>
    </w:p>
    <w:p w:rsidR="00000000" w:rsidDel="00000000" w:rsidP="00000000" w:rsidRDefault="00000000" w:rsidRPr="00000000" w14:paraId="00000005">
      <w:pPr>
        <w:numPr>
          <w:ilvl w:val="1"/>
          <w:numId w:val="2"/>
        </w:numPr>
        <w:spacing w:after="0" w:afterAutospacing="0" w:before="0" w:beforeAutospacing="0" w:lineRule="auto"/>
        <w:ind w:left="1440" w:hanging="360"/>
      </w:pPr>
      <w:r w:rsidDel="00000000" w:rsidR="00000000" w:rsidRPr="00000000">
        <w:rPr>
          <w:b w:val="1"/>
          <w:rtl w:val="0"/>
        </w:rPr>
        <w:t xml:space="preserve">Achievements:</w:t>
      </w:r>
      <w:r w:rsidDel="00000000" w:rsidR="00000000" w:rsidRPr="00000000">
        <w:rPr>
          <w:rtl w:val="0"/>
        </w:rPr>
        <w:t xml:space="preserve"> Led a successful fundraising campaign for a Web 2.5 real estate platform integrating IT for trading, bidding, and partial property investments. Developed a user-centric business model enhancing market accessibility and transaction transparency.</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b w:val="1"/>
          <w:rtl w:val="0"/>
        </w:rPr>
        <w:t xml:space="preserve">Web Comics Platform (Flickrz.com)</w:t>
      </w:r>
    </w:p>
    <w:p w:rsidR="00000000" w:rsidDel="00000000" w:rsidP="00000000" w:rsidRDefault="00000000" w:rsidRPr="00000000" w14:paraId="00000007">
      <w:pPr>
        <w:numPr>
          <w:ilvl w:val="1"/>
          <w:numId w:val="2"/>
        </w:numPr>
        <w:spacing w:after="0" w:afterAutospacing="0" w:before="0" w:beforeAutospacing="0" w:lineRule="auto"/>
        <w:ind w:left="1440" w:hanging="360"/>
      </w:pPr>
      <w:r w:rsidDel="00000000" w:rsidR="00000000" w:rsidRPr="00000000">
        <w:rPr>
          <w:b w:val="1"/>
          <w:rtl w:val="0"/>
        </w:rPr>
        <w:t xml:space="preserve">Fundraising Success:</w:t>
      </w:r>
      <w:r w:rsidDel="00000000" w:rsidR="00000000" w:rsidRPr="00000000">
        <w:rPr>
          <w:rtl w:val="0"/>
        </w:rPr>
        <w:t xml:space="preserve"> +$5 Million USD in 2024 Q1.</w:t>
      </w:r>
    </w:p>
    <w:p w:rsidR="00000000" w:rsidDel="00000000" w:rsidP="00000000" w:rsidRDefault="00000000" w:rsidRPr="00000000" w14:paraId="00000008">
      <w:pPr>
        <w:numPr>
          <w:ilvl w:val="1"/>
          <w:numId w:val="2"/>
        </w:numPr>
        <w:spacing w:after="0" w:afterAutospacing="0" w:before="0" w:beforeAutospacing="0" w:lineRule="auto"/>
        <w:ind w:left="1440" w:hanging="360"/>
      </w:pPr>
      <w:r w:rsidDel="00000000" w:rsidR="00000000" w:rsidRPr="00000000">
        <w:rPr>
          <w:b w:val="1"/>
          <w:rtl w:val="0"/>
        </w:rPr>
        <w:t xml:space="preserve">Achievements:</w:t>
      </w:r>
      <w:r w:rsidDel="00000000" w:rsidR="00000000" w:rsidRPr="00000000">
        <w:rPr>
          <w:rtl w:val="0"/>
        </w:rPr>
        <w:t xml:space="preserve"> Directed a presale campaign that raised over $5 million, supporting new cryptocurrency development and global expansion. Implemented partnership-based selling strategies and led the development of a secure Web3 wallet and advanced cybersecurity initiatives, enhancing team growth and industry recognition.</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Entertainment: Meflex Entertainment</w:t>
      </w:r>
    </w:p>
    <w:p w:rsidR="00000000" w:rsidDel="00000000" w:rsidP="00000000" w:rsidRDefault="00000000" w:rsidRPr="00000000" w14:paraId="0000000A">
      <w:pPr>
        <w:numPr>
          <w:ilvl w:val="1"/>
          <w:numId w:val="2"/>
        </w:numPr>
        <w:spacing w:after="0" w:afterAutospacing="0" w:before="0" w:beforeAutospacing="0" w:lineRule="auto"/>
        <w:ind w:left="1440" w:hanging="360"/>
      </w:pPr>
      <w:r w:rsidDel="00000000" w:rsidR="00000000" w:rsidRPr="00000000">
        <w:rPr>
          <w:b w:val="1"/>
          <w:rtl w:val="0"/>
        </w:rPr>
        <w:t xml:space="preserve">Fundraising Success:</w:t>
      </w:r>
      <w:r w:rsidDel="00000000" w:rsidR="00000000" w:rsidRPr="00000000">
        <w:rPr>
          <w:rtl w:val="0"/>
        </w:rPr>
        <w:t xml:space="preserve"> $10 Million USD in 2023 Q4.</w:t>
      </w:r>
    </w:p>
    <w:p w:rsidR="00000000" w:rsidDel="00000000" w:rsidP="00000000" w:rsidRDefault="00000000" w:rsidRPr="00000000" w14:paraId="0000000B">
      <w:pPr>
        <w:numPr>
          <w:ilvl w:val="1"/>
          <w:numId w:val="2"/>
        </w:numPr>
        <w:spacing w:after="0" w:afterAutospacing="0" w:before="0" w:beforeAutospacing="0" w:lineRule="auto"/>
        <w:ind w:left="1440" w:hanging="360"/>
      </w:pPr>
      <w:r w:rsidDel="00000000" w:rsidR="00000000" w:rsidRPr="00000000">
        <w:rPr>
          <w:b w:val="1"/>
          <w:rtl w:val="0"/>
        </w:rPr>
        <w:t xml:space="preserve">Achievements:</w:t>
      </w:r>
      <w:r w:rsidDel="00000000" w:rsidR="00000000" w:rsidRPr="00000000">
        <w:rPr>
          <w:rtl w:val="0"/>
        </w:rPr>
        <w:t xml:space="preserve"> Secured a $10 million contract to revolutionize the AI fashion market within the blockchain sphere, paving the way for innovative intersections of fashion and technology. Reference:</w:t>
      </w:r>
      <w:hyperlink r:id="rId6">
        <w:r w:rsidDel="00000000" w:rsidR="00000000" w:rsidRPr="00000000">
          <w:rPr>
            <w:rtl w:val="0"/>
          </w:rPr>
          <w:t xml:space="preserve"> </w:t>
        </w:r>
      </w:hyperlink>
      <w:hyperlink r:id="rId7">
        <w:r w:rsidDel="00000000" w:rsidR="00000000" w:rsidRPr="00000000">
          <w:rPr>
            <w:color w:val="1155cc"/>
            <w:u w:val="single"/>
            <w:rtl w:val="0"/>
          </w:rPr>
          <w:t xml:space="preserve">Meflex Fundraising Success</w:t>
        </w:r>
      </w:hyperlink>
      <w:r w:rsidDel="00000000" w:rsidR="00000000" w:rsidRPr="00000000">
        <w:rPr>
          <w:rtl w:val="0"/>
        </w:rPr>
        <w:t xml:space="preserv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Medical Customers DB</w:t>
      </w:r>
    </w:p>
    <w:p w:rsidR="00000000" w:rsidDel="00000000" w:rsidP="00000000" w:rsidRDefault="00000000" w:rsidRPr="00000000" w14:paraId="0000000D">
      <w:pPr>
        <w:numPr>
          <w:ilvl w:val="1"/>
          <w:numId w:val="2"/>
        </w:numPr>
        <w:spacing w:after="0" w:afterAutospacing="0" w:before="0" w:beforeAutospacing="0" w:lineRule="auto"/>
        <w:ind w:left="1440" w:hanging="360"/>
      </w:pPr>
      <w:r w:rsidDel="00000000" w:rsidR="00000000" w:rsidRPr="00000000">
        <w:rPr>
          <w:b w:val="1"/>
          <w:rtl w:val="0"/>
        </w:rPr>
        <w:t xml:space="preserve">Achievements:</w:t>
      </w:r>
      <w:r w:rsidDel="00000000" w:rsidR="00000000" w:rsidRPr="00000000">
        <w:rPr>
          <w:rtl w:val="0"/>
        </w:rPr>
        <w:t xml:space="preserve"> As Director at UNESCO ICT Korea, led COVID-19 assessment and data forecasting initiatives with a 97% accuracy rate, leveraging data science expertise to drive impactful insights and strategic decision-making.</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Trading Exchange Platform</w:t>
      </w:r>
    </w:p>
    <w:p w:rsidR="00000000" w:rsidDel="00000000" w:rsidP="00000000" w:rsidRDefault="00000000" w:rsidRPr="00000000" w14:paraId="0000000F">
      <w:pPr>
        <w:numPr>
          <w:ilvl w:val="1"/>
          <w:numId w:val="2"/>
        </w:numPr>
        <w:spacing w:after="0" w:afterAutospacing="0" w:before="0" w:beforeAutospacing="0" w:lineRule="auto"/>
        <w:ind w:left="1440" w:hanging="360"/>
      </w:pPr>
      <w:r w:rsidDel="00000000" w:rsidR="00000000" w:rsidRPr="00000000">
        <w:rPr>
          <w:b w:val="1"/>
          <w:rtl w:val="0"/>
        </w:rPr>
        <w:t xml:space="preserve">Funding Success:</w:t>
      </w:r>
      <w:r w:rsidDel="00000000" w:rsidR="00000000" w:rsidRPr="00000000">
        <w:rPr>
          <w:rtl w:val="0"/>
        </w:rPr>
        <w:t xml:space="preserve"> $3 Million USD in 2024 Q2.</w:t>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b w:val="1"/>
          <w:rtl w:val="0"/>
        </w:rPr>
        <w:t xml:space="preserve">Platforms:</w:t>
      </w:r>
      <w:r w:rsidDel="00000000" w:rsidR="00000000" w:rsidRPr="00000000">
        <w:rPr>
          <w:rtl w:val="0"/>
        </w:rPr>
        <w:t xml:space="preserve"> findexofficial.com, somiexchange.com.</w:t>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b w:val="1"/>
          <w:rtl w:val="0"/>
        </w:rPr>
        <w:t xml:space="preserve">Vesting Schedule:</w:t>
      </w:r>
      <w:r w:rsidDel="00000000" w:rsidR="00000000" w:rsidRPr="00000000">
        <w:rPr>
          <w:rtl w:val="0"/>
        </w:rPr>
        <w:t xml:space="preserve"> Community allocation tokens vesting over 36 months, with 10% unlocked immediately and 20% vesting linearly.</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Investment Platform (Brickon.io)</w:t>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b w:val="1"/>
          <w:rtl w:val="0"/>
        </w:rPr>
        <w:t xml:space="preserve">Fundraising Success:</w:t>
      </w:r>
      <w:r w:rsidDel="00000000" w:rsidR="00000000" w:rsidRPr="00000000">
        <w:rPr>
          <w:rtl w:val="0"/>
        </w:rPr>
        <w:t xml:space="preserve"> $5 Million USD in 2024 Q2.</w:t>
      </w:r>
    </w:p>
    <w:p w:rsidR="00000000" w:rsidDel="00000000" w:rsidP="00000000" w:rsidRDefault="00000000" w:rsidRPr="00000000" w14:paraId="00000014">
      <w:pPr>
        <w:numPr>
          <w:ilvl w:val="1"/>
          <w:numId w:val="2"/>
        </w:numPr>
        <w:spacing w:after="240" w:before="0" w:beforeAutospacing="0" w:lineRule="auto"/>
        <w:ind w:left="1440" w:hanging="360"/>
      </w:pPr>
      <w:r w:rsidDel="00000000" w:rsidR="00000000" w:rsidRPr="00000000">
        <w:rPr>
          <w:b w:val="1"/>
          <w:rtl w:val="0"/>
        </w:rPr>
        <w:t xml:space="preserve">Achievements:</w:t>
      </w:r>
      <w:r w:rsidDel="00000000" w:rsidR="00000000" w:rsidRPr="00000000">
        <w:rPr>
          <w:rtl w:val="0"/>
        </w:rPr>
        <w:t xml:space="preserve"> Enabled significant user profits through a secure and efficient blockchain-based trading area. Emphasized trust, security, and efficiency in digital asset management.</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s2wm7a7en9xj" w:id="2"/>
      <w:bookmarkEnd w:id="2"/>
      <w:r w:rsidDel="00000000" w:rsidR="00000000" w:rsidRPr="00000000">
        <w:rPr>
          <w:b w:val="1"/>
          <w:color w:val="000000"/>
          <w:sz w:val="26"/>
          <w:szCs w:val="26"/>
          <w:rtl w:val="0"/>
        </w:rPr>
        <w:t xml:space="preserve">Key Sales Tips</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b w:val="1"/>
          <w:rtl w:val="0"/>
        </w:rPr>
        <w:t xml:space="preserve">Memorize Team Activities</w:t>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rtl w:val="0"/>
        </w:rPr>
        <w:t xml:space="preserve">Understand the full range of marketing materials and strategies, including social media ads, platform registrations, VC proposals, LinkedIn BD contacts, branding, designing, landing page ads, network marketing, customer segmentation, and cold email approaches.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b w:val="1"/>
          <w:rtl w:val="0"/>
        </w:rPr>
        <w:t xml:space="preserve">Promote Portfolio Confidently</w:t>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rtl w:val="0"/>
        </w:rPr>
        <w:t xml:space="preserve">Comprehensively explain the portfolio and be proud of the accomplishments when presenting to clients or potential clients. Practice delivering this information smoothly and confidently.</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b w:val="1"/>
          <w:rtl w:val="0"/>
        </w:rPr>
        <w:t xml:space="preserve">Showcase Results Transparently</w:t>
      </w:r>
    </w:p>
    <w:p w:rsidR="00000000" w:rsidDel="00000000" w:rsidP="00000000" w:rsidRDefault="00000000" w:rsidRPr="00000000" w14:paraId="0000001B">
      <w:pPr>
        <w:numPr>
          <w:ilvl w:val="1"/>
          <w:numId w:val="3"/>
        </w:numPr>
        <w:spacing w:after="240" w:before="0" w:beforeAutospacing="0" w:lineRule="auto"/>
        <w:ind w:left="1440" w:hanging="360"/>
      </w:pPr>
      <w:r w:rsidDel="00000000" w:rsidR="00000000" w:rsidRPr="00000000">
        <w:rPr>
          <w:rtl w:val="0"/>
        </w:rPr>
        <w:t xml:space="preserve">Always display the outcomes of tasks proudly. Hiding results can lead to missed opportunities to showcase the team's hard work and achievements. This transparency is crucial during meetings and presentations.</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1emgj846gyne" w:id="3"/>
      <w:bookmarkEnd w:id="3"/>
      <w:r w:rsidDel="00000000" w:rsidR="00000000" w:rsidRPr="00000000">
        <w:rPr>
          <w:b w:val="1"/>
          <w:color w:val="000000"/>
          <w:sz w:val="26"/>
          <w:szCs w:val="26"/>
          <w:rtl w:val="0"/>
        </w:rPr>
        <w:t xml:space="preserve">Additional Notes</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Never let people forget about the marketing and fundraising stories, especially the successful campaigns. These stories are crucial for demonstrating credibility and success.</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Use this guide to prepare for interviews and client meetings, ensuring you are well-versed in the portfolio details and ready to answer any related questions.</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hru3pspot3lw" w:id="4"/>
      <w:bookmarkEnd w:id="4"/>
      <w:r w:rsidDel="00000000" w:rsidR="00000000" w:rsidRPr="00000000">
        <w:rPr>
          <w:b w:val="1"/>
          <w:color w:val="000000"/>
          <w:sz w:val="26"/>
          <w:szCs w:val="26"/>
          <w:rtl w:val="0"/>
        </w:rPr>
        <w:t xml:space="preserve">Preparing for Interviews</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b w:val="1"/>
          <w:rtl w:val="0"/>
        </w:rPr>
        <w:t xml:space="preserve">Understand Overall Marketing Strategies:</w:t>
      </w:r>
      <w:r w:rsidDel="00000000" w:rsidR="00000000" w:rsidRPr="00000000">
        <w:rPr>
          <w:rtl w:val="0"/>
        </w:rPr>
        <w:t xml:space="preserve"> Be familiar with the various tools and techniques used.</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b w:val="1"/>
          <w:rtl w:val="0"/>
        </w:rPr>
        <w:t xml:space="preserve">Promote the Portfolio:</w:t>
      </w:r>
      <w:r w:rsidDel="00000000" w:rsidR="00000000" w:rsidRPr="00000000">
        <w:rPr>
          <w:rtl w:val="0"/>
        </w:rPr>
        <w:t xml:space="preserve"> Explain the success stories confidently.</w:t>
      </w:r>
    </w:p>
    <w:p w:rsidR="00000000" w:rsidDel="00000000" w:rsidP="00000000" w:rsidRDefault="00000000" w:rsidRPr="00000000" w14:paraId="00000022">
      <w:pPr>
        <w:numPr>
          <w:ilvl w:val="0"/>
          <w:numId w:val="4"/>
        </w:numPr>
        <w:spacing w:after="240" w:before="0" w:beforeAutospacing="0" w:lineRule="auto"/>
        <w:ind w:left="720" w:hanging="360"/>
      </w:pPr>
      <w:r w:rsidDel="00000000" w:rsidR="00000000" w:rsidRPr="00000000">
        <w:rPr>
          <w:b w:val="1"/>
          <w:rtl w:val="0"/>
        </w:rPr>
        <w:t xml:space="preserve">Showcase Results:</w:t>
      </w:r>
      <w:r w:rsidDel="00000000" w:rsidR="00000000" w:rsidRPr="00000000">
        <w:rPr>
          <w:rtl w:val="0"/>
        </w:rPr>
        <w:t xml:space="preserve"> Proudly display the achievements and ensure they are well-documented in the portfolio file.</w:t>
      </w:r>
    </w:p>
    <w:p w:rsidR="00000000" w:rsidDel="00000000" w:rsidP="00000000" w:rsidRDefault="00000000" w:rsidRPr="00000000" w14:paraId="00000023">
      <w:pPr>
        <w:spacing w:after="240" w:before="240" w:lineRule="auto"/>
        <w:rPr/>
      </w:pPr>
      <w:r w:rsidDel="00000000" w:rsidR="00000000" w:rsidRPr="00000000">
        <w:rPr>
          <w:rtl w:val="0"/>
        </w:rPr>
        <w:t xml:space="preserve">Remember, this guide is to help you confidently and effectively present the portfolio and achievements to clients and potential partners. Practice, preparation, and transparency are key to successful presentations and interviews.</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nance.yahoo.com/news/meflex-got-10-million-usd-193500391.html?guccounter=1&amp;guce_referrer=aHR0cHM6Ly93d3cuZ29vZ2xlLmNvbS8&amp;guce_referrer_sig=AQAAAI_D0KBE0bJ15e0m_E7rsJ-TVr5UUt2U9cZvkUcOaW0qvUL7HuY-4gc-bF-L2fmCGj1ONl3QqYscSFNnXxwGRusJbTc4nEv9rIHG1ro1gwAAJFyR9qGwKP5oL7aCH1wIVt9PKzE3DO1MAihXyGiBW7sBDettDodVYwEwixUY5wBj" TargetMode="External"/><Relationship Id="rId7" Type="http://schemas.openxmlformats.org/officeDocument/2006/relationships/hyperlink" Target="https://finance.yahoo.com/news/meflex-got-10-million-usd-193500391.html?guccounter=1&amp;guce_referrer=aHR0cHM6Ly93d3cuZ29vZ2xlLmNvbS8&amp;guce_referrer_sig=AQAAAI_D0KBE0bJ15e0m_E7rsJ-TVr5UUt2U9cZvkUcOaW0qvUL7HuY-4gc-bF-L2fmCGj1ONl3QqYscSFNnXxwGRusJbTc4nEv9rIHG1ro1gwAAJFyR9qGwKP5oL7aCH1wIVt9PKzE3DO1MAihXyGiBW7sBDettDodVYwEwixUY5wB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